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福州市福化环保科技有限公司</w:t>
      </w:r>
    </w:p>
    <w:p>
      <w:pPr>
        <w:ind w:firstLine="321" w:firstLineChars="1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焚烧线湿法脱酸系统综合改造项目比选公告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福州市</w:t>
      </w:r>
      <w:r>
        <w:rPr>
          <w:rFonts w:hint="eastAsia" w:ascii="宋体" w:hAnsi="宋体" w:eastAsia="宋体" w:cs="宋体"/>
          <w:sz w:val="28"/>
          <w:szCs w:val="28"/>
        </w:rPr>
        <w:t>福化环保科技有限公司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拟对本公司焚烧线湿法脱酸系统综合改造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进行国内公开比选。本项目最高限价27万元。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福州市福化环保科技有限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公司承诺本次公开自主比选不存在任何障碍，保证本公告的内容不存在任何重大遗漏、虚假陈述或严重误导，并对其内容的真实性、完整性和有效性负责。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一．比选内容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（一）焚烧线湿法脱酸系统现有PP管线更换成316L不锈钢管线；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（二）新增一个50m3的316L不锈钢高盐废水储罐；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（三）上述有关设备材料的采购和改造安装工程，内容包括（包含但不限于）：50m3储罐、管线、管件、附属仪表、储罐基础、储罐安装、管线的拆除和更换，详细内容参见比选文件。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二．参选人资格要求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参选人为独立法人，业务范围包含压力容器、压力管道安装施工，或化工、环保生产装置运行维护；具备化工或环保行业相关储罐、管道安装工程施工承包资质，且具有承包过三个以上工程的业绩或在相关工程服务3年以上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参选保证金递交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（一）参选保证金金额：¥10000元（壹万元整）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（二）参选保证金递交时间：2020年7月21日17:30前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（三）参选保证金递交方式：从参选人所在地企业基本账户银行以银行转账的形式，汇到比选人下列指定的保证金账户：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户  名：福州市福化</w:t>
      </w:r>
      <w:r>
        <w:rPr>
          <w:rFonts w:asciiTheme="minorEastAsia" w:hAnsiTheme="minorEastAsia" w:cstheme="minorEastAsia"/>
          <w:sz w:val="28"/>
          <w:szCs w:val="28"/>
        </w:rPr>
        <w:t>环保科技有限公司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开户行：中国银行福清江阴开发区支行</w:t>
      </w:r>
    </w:p>
    <w:p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账  号：</w:t>
      </w:r>
      <w:r>
        <w:rPr>
          <w:rFonts w:asciiTheme="minorEastAsia" w:hAnsiTheme="minorEastAsia" w:cstheme="minorEastAsia"/>
          <w:sz w:val="28"/>
          <w:szCs w:val="28"/>
        </w:rPr>
        <w:t>4273 7504 6363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参选文件递交截止时间： 2020年7月21日17:30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开选时间：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2020年7月23日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庄先生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15985913058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公司纪检监察：</w:t>
      </w:r>
      <w:r>
        <w:rPr>
          <w:rFonts w:hint="eastAsia" w:asciiTheme="minorEastAsia" w:hAnsiTheme="minorEastAsia" w:cstheme="minorEastAsia"/>
          <w:sz w:val="28"/>
          <w:szCs w:val="28"/>
        </w:rPr>
        <w:t>赖翠清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话：</w:t>
      </w:r>
      <w:r>
        <w:rPr>
          <w:rFonts w:asciiTheme="minorEastAsia" w:hAnsiTheme="minorEastAsia" w:cstheme="minorEastAsia"/>
          <w:sz w:val="28"/>
          <w:szCs w:val="28"/>
        </w:rPr>
        <w:t>0591-87868165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联系地址：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福建省福清市江阴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工业集中区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国盛大道3号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邮编：350309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福州市福化环保科技有限公司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2020年7月15日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tabs>
          <w:tab w:val="left" w:pos="72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8D54"/>
    <w:multiLevelType w:val="singleLevel"/>
    <w:tmpl w:val="418D8D54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0347"/>
    <w:rsid w:val="025576ED"/>
    <w:rsid w:val="04825AC1"/>
    <w:rsid w:val="11961216"/>
    <w:rsid w:val="135C7391"/>
    <w:rsid w:val="15EF25A8"/>
    <w:rsid w:val="17D82349"/>
    <w:rsid w:val="199F7E42"/>
    <w:rsid w:val="21167A50"/>
    <w:rsid w:val="212A4662"/>
    <w:rsid w:val="26DC3B8D"/>
    <w:rsid w:val="29764DA8"/>
    <w:rsid w:val="2C411EEB"/>
    <w:rsid w:val="3355038D"/>
    <w:rsid w:val="39B80347"/>
    <w:rsid w:val="3A590EA0"/>
    <w:rsid w:val="3B4D2A00"/>
    <w:rsid w:val="41253AB0"/>
    <w:rsid w:val="46792C1E"/>
    <w:rsid w:val="53746DCD"/>
    <w:rsid w:val="53D97BB8"/>
    <w:rsid w:val="573E75BB"/>
    <w:rsid w:val="57F64584"/>
    <w:rsid w:val="626779C9"/>
    <w:rsid w:val="663364CB"/>
    <w:rsid w:val="6F547452"/>
    <w:rsid w:val="72B456C5"/>
    <w:rsid w:val="7D13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2020-07-15T01:47:00Z</dcterms:created>
  <dc:creator>小鱼</dc:creator>
  <cp:lastModifiedBy>小鱼</cp:lastModifiedBy>
  <dcterms:modified xsi:type="dcterms:W3CDTF">2020-07-15T03:06:33Z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